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6：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</w:t>
      </w:r>
    </w:p>
    <w:p>
      <w:pPr>
        <w:snapToGrid w:val="0"/>
        <w:spacing w:before="156" w:beforeLines="50" w:after="156" w:afterLines="5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“中国好建筑”—老旧小区建筑改造能效提升评价细则</w:t>
      </w:r>
    </w:p>
    <w:p>
      <w:pPr>
        <w:snapToGrid w:val="0"/>
        <w:spacing w:before="156" w:beforeLines="50" w:after="156" w:afterLines="50"/>
        <w:jc w:val="center"/>
        <w:rPr>
          <w:rFonts w:ascii="方正小标宋简体" w:eastAsia="方正小标宋简体"/>
          <w:sz w:val="32"/>
          <w:szCs w:val="32"/>
        </w:rPr>
      </w:pPr>
    </w:p>
    <w:p>
      <w:pPr>
        <w:snapToGrid w:val="0"/>
        <w:spacing w:line="360" w:lineRule="auto"/>
        <w:ind w:firstLine="562" w:firstLineChars="200"/>
        <w:rPr>
          <w:rFonts w:ascii="仿宋_GB2312" w:eastAsia="仿宋_GB2312"/>
          <w:b/>
          <w:bCs/>
          <w:sz w:val="28"/>
          <w:szCs w:val="32"/>
        </w:rPr>
      </w:pPr>
      <w:r>
        <w:rPr>
          <w:rFonts w:hint="eastAsia" w:ascii="仿宋_GB2312" w:eastAsia="仿宋_GB2312"/>
          <w:b/>
          <w:bCs/>
          <w:sz w:val="28"/>
          <w:szCs w:val="32"/>
        </w:rPr>
        <w:t>一</w:t>
      </w:r>
      <w:r>
        <w:rPr>
          <w:rFonts w:ascii="仿宋_GB2312" w:eastAsia="仿宋_GB2312"/>
          <w:b/>
          <w:bCs/>
          <w:sz w:val="28"/>
          <w:szCs w:val="32"/>
        </w:rPr>
        <w:t>、</w:t>
      </w:r>
      <w:r>
        <w:rPr>
          <w:rFonts w:hint="eastAsia" w:ascii="仿宋_GB2312" w:eastAsia="仿宋_GB2312"/>
          <w:b/>
          <w:bCs/>
          <w:sz w:val="28"/>
          <w:szCs w:val="32"/>
        </w:rPr>
        <w:t>项目基本情况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1、申报单位基本信息：申报单位名称、联系人、联系方式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2、申报建筑信息：设计单位、施工单位、运行单位、改造单位。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3、建筑基础信息：建筑名称、详细地址、建筑类型、竣工时间、建筑层数及面积、建筑使用功能分布等。</w:t>
      </w:r>
    </w:p>
    <w:p>
      <w:pPr>
        <w:snapToGrid w:val="0"/>
        <w:spacing w:line="360" w:lineRule="auto"/>
        <w:ind w:firstLine="562" w:firstLineChars="200"/>
        <w:rPr>
          <w:rFonts w:ascii="仿宋_GB2312" w:eastAsia="仿宋_GB2312"/>
          <w:b/>
          <w:bCs/>
          <w:sz w:val="28"/>
          <w:szCs w:val="32"/>
        </w:rPr>
      </w:pPr>
      <w:r>
        <w:rPr>
          <w:rFonts w:hint="eastAsia" w:ascii="仿宋_GB2312" w:eastAsia="仿宋_GB2312"/>
          <w:b/>
          <w:bCs/>
          <w:sz w:val="28"/>
          <w:szCs w:val="32"/>
        </w:rPr>
        <w:t>二、能耗诊断和统计信息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1、节能诊断分析：分析改造前1</w:t>
      </w:r>
      <w:r>
        <w:rPr>
          <w:rFonts w:ascii="仿宋_GB2312" w:eastAsia="仿宋_GB2312"/>
          <w:sz w:val="28"/>
          <w:szCs w:val="32"/>
        </w:rPr>
        <w:t>-3</w:t>
      </w:r>
      <w:r>
        <w:rPr>
          <w:rFonts w:hint="eastAsia" w:ascii="仿宋_GB2312" w:eastAsia="仿宋_GB2312"/>
          <w:sz w:val="28"/>
          <w:szCs w:val="32"/>
        </w:rPr>
        <w:t>年项目的总能耗，单位面积能耗、单位人居能耗。分析改造后项目的总能耗，单位面积能耗、单位人居能耗。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2</w:t>
      </w:r>
      <w:r>
        <w:rPr>
          <w:rFonts w:hint="eastAsia" w:ascii="仿宋_GB2312" w:eastAsia="仿宋_GB2312"/>
          <w:sz w:val="28"/>
          <w:szCs w:val="32"/>
        </w:rPr>
        <w:t>、能耗分析：分析建筑节能量和节能率。</w:t>
      </w:r>
    </w:p>
    <w:p>
      <w:pPr>
        <w:snapToGrid w:val="0"/>
        <w:spacing w:line="360" w:lineRule="auto"/>
        <w:ind w:firstLine="562" w:firstLineChars="200"/>
        <w:rPr>
          <w:rFonts w:ascii="仿宋_GB2312" w:eastAsia="仿宋_GB2312"/>
          <w:b/>
          <w:bCs/>
          <w:sz w:val="28"/>
          <w:szCs w:val="32"/>
        </w:rPr>
      </w:pPr>
      <w:r>
        <w:rPr>
          <w:rFonts w:hint="eastAsia" w:ascii="仿宋_GB2312" w:eastAsia="仿宋_GB2312"/>
          <w:b/>
          <w:bCs/>
          <w:sz w:val="28"/>
          <w:szCs w:val="32"/>
        </w:rPr>
        <w:t>三、能效提升主要内容和方案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1、节能改造内容和方案：节能改造目标，用能设备系统节能改造的详细内容、围护结构节能改造的详细内容，节能改造的综合性解决方案和关键技术。</w:t>
      </w:r>
    </w:p>
    <w:p>
      <w:pPr>
        <w:snapToGrid w:val="0"/>
        <w:spacing w:line="360" w:lineRule="auto"/>
        <w:ind w:firstLine="562" w:firstLineChars="200"/>
        <w:rPr>
          <w:rFonts w:ascii="仿宋_GB2312" w:eastAsia="仿宋_GB2312"/>
          <w:b/>
          <w:bCs/>
          <w:sz w:val="28"/>
          <w:szCs w:val="32"/>
        </w:rPr>
      </w:pPr>
      <w:r>
        <w:rPr>
          <w:rFonts w:hint="eastAsia" w:ascii="仿宋_GB2312" w:eastAsia="仿宋_GB2312"/>
          <w:b/>
          <w:bCs/>
          <w:sz w:val="28"/>
          <w:szCs w:val="32"/>
        </w:rPr>
        <w:t>四、经济效益分析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1、单项节能量分析：分析改造的单项建筑用能系统的节能率；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2、整体节能效果分析：分析建筑整体节能效果；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3、节能改造投资分析：节能改造投资回收方式、节能能源费用及投资回收期；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4</w:t>
      </w:r>
      <w:r>
        <w:rPr>
          <w:rFonts w:hint="eastAsia" w:ascii="仿宋_GB2312" w:eastAsia="仿宋_GB2312"/>
          <w:sz w:val="28"/>
          <w:szCs w:val="32"/>
        </w:rPr>
        <w:t>、创新点和亮点：关键技术、模式创新等。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中国好建筑—“</w:t>
      </w:r>
      <w:r>
        <w:rPr>
          <w:rFonts w:hint="eastAsia" w:ascii="方正小标宋简体" w:eastAsia="方正小标宋简体"/>
          <w:sz w:val="32"/>
          <w:szCs w:val="32"/>
        </w:rPr>
        <w:t>老旧小区改造”</w:t>
      </w:r>
      <w:r>
        <w:rPr>
          <w:rFonts w:hint="eastAsia" w:ascii="Times New Roman" w:hAnsi="Times New Roman" w:eastAsia="黑体" w:cs="Times New Roman"/>
          <w:sz w:val="32"/>
          <w:szCs w:val="32"/>
        </w:rPr>
        <w:t>”能效提升评价表</w:t>
      </w:r>
    </w:p>
    <w:tbl>
      <w:tblPr>
        <w:tblStyle w:val="5"/>
        <w:tblW w:w="51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2273"/>
        <w:gridCol w:w="2055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shd w:val="clear" w:color="auto" w:fill="7F7F7F" w:themeFill="background1" w:themeFillShade="8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能耗诊断和统计信息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改造前综合能耗（k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wh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1296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7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改造前单位面积能耗（kw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h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/m</w:t>
            </w:r>
            <w:r>
              <w:rPr>
                <w:rFonts w:ascii="Times New Roman" w:hAnsi="Times New Roman" w:eastAsia="黑体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1214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9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7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改造前单位面积能耗（kw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h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/人）</w:t>
            </w:r>
          </w:p>
        </w:tc>
        <w:tc>
          <w:tcPr>
            <w:tcW w:w="1214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改造后综合能耗（k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wh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1296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7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改造后单位面积能耗（kw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h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/m</w:t>
            </w:r>
            <w:r>
              <w:rPr>
                <w:rFonts w:ascii="Times New Roman" w:hAnsi="Times New Roman" w:eastAsia="黑体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1214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96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7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改造后单位面积能耗（kw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h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/人）</w:t>
            </w:r>
          </w:p>
        </w:tc>
        <w:tc>
          <w:tcPr>
            <w:tcW w:w="1214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节能量</w:t>
            </w:r>
          </w:p>
        </w:tc>
        <w:tc>
          <w:tcPr>
            <w:tcW w:w="1296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72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节能率</w:t>
            </w:r>
          </w:p>
        </w:tc>
        <w:tc>
          <w:tcPr>
            <w:tcW w:w="1214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8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联系人和电话</w:t>
            </w:r>
          </w:p>
        </w:tc>
        <w:tc>
          <w:tcPr>
            <w:tcW w:w="3682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shd w:val="clear" w:color="auto" w:fill="7F7F7F" w:themeFill="background1" w:themeFillShade="8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节能改造内容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节能改造内容（在以下选项中打“√”）：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□围护结构                □供暖系统          □通风空调系统   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□生活热水系统            □给排水系统        □供配电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、照明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系统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□监测与控制系统          □可再生能源利用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   □其他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shd w:val="clear" w:color="auto" w:fill="A5A5A5" w:themeFill="background1" w:themeFillShade="A6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节能改造方案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（综合考虑围护结构、机电系统、可再生能源系统、运行管理等，提出系统改造方案）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shd w:val="clear" w:color="auto" w:fill="7F7F7F" w:themeFill="background1" w:themeFillShade="8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建筑用能运行数据（改造前）—2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01X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年</w:t>
            </w:r>
          </w:p>
        </w:tc>
      </w:tr>
    </w:tbl>
    <w:tbl>
      <w:tblPr>
        <w:tblStyle w:val="4"/>
        <w:tblW w:w="5136" w:type="pct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68"/>
        <w:gridCol w:w="975"/>
        <w:gridCol w:w="823"/>
        <w:gridCol w:w="1126"/>
        <w:gridCol w:w="1129"/>
        <w:gridCol w:w="826"/>
        <w:gridCol w:w="1082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464" w:type="pct"/>
            <w:vMerge w:val="restart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ind w:firstLine="181" w:firstLineChars="10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能源</w:t>
            </w:r>
          </w:p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月份</w:t>
            </w:r>
          </w:p>
        </w:tc>
        <w:tc>
          <w:tcPr>
            <w:tcW w:w="667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电—外购电网</w:t>
            </w:r>
          </w:p>
        </w:tc>
        <w:tc>
          <w:tcPr>
            <w:tcW w:w="557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外购天然气</w:t>
            </w:r>
          </w:p>
        </w:tc>
        <w:tc>
          <w:tcPr>
            <w:tcW w:w="470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外购蒸汽</w:t>
            </w:r>
          </w:p>
        </w:tc>
        <w:tc>
          <w:tcPr>
            <w:tcW w:w="643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外购生活热水</w:t>
            </w:r>
          </w:p>
        </w:tc>
        <w:tc>
          <w:tcPr>
            <w:tcW w:w="645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外购采暖热量</w:t>
            </w:r>
          </w:p>
        </w:tc>
        <w:tc>
          <w:tcPr>
            <w:tcW w:w="472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外购冷量</w:t>
            </w:r>
          </w:p>
        </w:tc>
        <w:tc>
          <w:tcPr>
            <w:tcW w:w="618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太阳能发电</w:t>
            </w:r>
          </w:p>
        </w:tc>
        <w:tc>
          <w:tcPr>
            <w:tcW w:w="464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其他能源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vMerge w:val="continue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（KW</w:t>
            </w:r>
            <w:r>
              <w:rPr>
                <w:rFonts w:ascii="黑体" w:hAnsi="黑体" w:eastAsia="黑体"/>
                <w:b/>
                <w:sz w:val="18"/>
                <w:szCs w:val="18"/>
              </w:rPr>
              <w:sym w:font="Wingdings" w:char="F09E"/>
            </w:r>
            <w:r>
              <w:rPr>
                <w:rFonts w:ascii="黑体" w:hAnsi="黑体" w:eastAsia="黑体"/>
                <w:b/>
                <w:sz w:val="18"/>
                <w:szCs w:val="18"/>
              </w:rPr>
              <w:t>h）</w:t>
            </w: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(m</w:t>
            </w:r>
            <w:r>
              <w:rPr>
                <w:rFonts w:ascii="黑体" w:hAnsi="黑体" w:eastAsia="黑体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ascii="黑体" w:hAnsi="黑体" w:eastAsia="黑体"/>
                <w:b/>
                <w:sz w:val="18"/>
                <w:szCs w:val="18"/>
              </w:rPr>
              <w:t>)</w:t>
            </w: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(吨)</w:t>
            </w: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(吨)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(GJ)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(GJ)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（KW</w:t>
            </w:r>
            <w:r>
              <w:rPr>
                <w:rFonts w:ascii="黑体" w:hAnsi="黑体" w:eastAsia="黑体"/>
                <w:b/>
                <w:sz w:val="18"/>
                <w:szCs w:val="18"/>
              </w:rPr>
              <w:sym w:font="Wingdings" w:char="F09E"/>
            </w:r>
            <w:r>
              <w:rPr>
                <w:rFonts w:ascii="黑体" w:hAnsi="黑体" w:eastAsia="黑体"/>
                <w:b/>
                <w:sz w:val="18"/>
                <w:szCs w:val="18"/>
              </w:rPr>
              <w:t>h）</w:t>
            </w: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2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3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4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5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6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7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8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9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10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11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12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</w:tbl>
    <w:tbl>
      <w:tblPr>
        <w:tblStyle w:val="5"/>
        <w:tblW w:w="51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shd w:val="clear" w:color="auto" w:fill="7F7F7F" w:themeFill="background1" w:themeFillShade="8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建筑用能运行数据（改造后）—2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01X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年</w:t>
            </w:r>
          </w:p>
        </w:tc>
      </w:tr>
    </w:tbl>
    <w:tbl>
      <w:tblPr>
        <w:tblStyle w:val="4"/>
        <w:tblW w:w="5136" w:type="pct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68"/>
        <w:gridCol w:w="975"/>
        <w:gridCol w:w="823"/>
        <w:gridCol w:w="1126"/>
        <w:gridCol w:w="1129"/>
        <w:gridCol w:w="826"/>
        <w:gridCol w:w="1082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464" w:type="pct"/>
            <w:vMerge w:val="restart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ind w:firstLine="181" w:firstLineChars="100"/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能源</w:t>
            </w:r>
          </w:p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月份</w:t>
            </w:r>
          </w:p>
        </w:tc>
        <w:tc>
          <w:tcPr>
            <w:tcW w:w="667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电—外购电网</w:t>
            </w:r>
          </w:p>
        </w:tc>
        <w:tc>
          <w:tcPr>
            <w:tcW w:w="557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外购天然气</w:t>
            </w:r>
          </w:p>
        </w:tc>
        <w:tc>
          <w:tcPr>
            <w:tcW w:w="470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外购蒸汽</w:t>
            </w:r>
          </w:p>
        </w:tc>
        <w:tc>
          <w:tcPr>
            <w:tcW w:w="643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外购生活热水</w:t>
            </w:r>
          </w:p>
        </w:tc>
        <w:tc>
          <w:tcPr>
            <w:tcW w:w="645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外购采暖热量</w:t>
            </w:r>
          </w:p>
        </w:tc>
        <w:tc>
          <w:tcPr>
            <w:tcW w:w="472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外购冷量</w:t>
            </w:r>
          </w:p>
        </w:tc>
        <w:tc>
          <w:tcPr>
            <w:tcW w:w="618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太阳能发电</w:t>
            </w:r>
          </w:p>
        </w:tc>
        <w:tc>
          <w:tcPr>
            <w:tcW w:w="464" w:type="pct"/>
            <w:shd w:val="clear" w:color="auto" w:fill="E7E6E6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color w:val="000000"/>
                <w:sz w:val="18"/>
                <w:szCs w:val="18"/>
              </w:rPr>
              <w:t>其他能源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vMerge w:val="continue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（KW</w:t>
            </w:r>
            <w:r>
              <w:rPr>
                <w:rFonts w:ascii="黑体" w:hAnsi="黑体" w:eastAsia="黑体"/>
                <w:b/>
                <w:sz w:val="18"/>
                <w:szCs w:val="18"/>
              </w:rPr>
              <w:sym w:font="Wingdings" w:char="F09E"/>
            </w:r>
            <w:r>
              <w:rPr>
                <w:rFonts w:ascii="黑体" w:hAnsi="黑体" w:eastAsia="黑体"/>
                <w:b/>
                <w:sz w:val="18"/>
                <w:szCs w:val="18"/>
              </w:rPr>
              <w:t>h）</w:t>
            </w: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(m</w:t>
            </w:r>
            <w:r>
              <w:rPr>
                <w:rFonts w:ascii="黑体" w:hAnsi="黑体" w:eastAsia="黑体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ascii="黑体" w:hAnsi="黑体" w:eastAsia="黑体"/>
                <w:b/>
                <w:sz w:val="18"/>
                <w:szCs w:val="18"/>
              </w:rPr>
              <w:t>)</w:t>
            </w: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(吨)</w:t>
            </w: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(吨)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(GJ)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(GJ)</w:t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sz w:val="18"/>
                <w:szCs w:val="18"/>
              </w:rPr>
              <w:t>（KW</w:t>
            </w:r>
            <w:r>
              <w:rPr>
                <w:rFonts w:ascii="黑体" w:hAnsi="黑体" w:eastAsia="黑体"/>
                <w:b/>
                <w:sz w:val="18"/>
                <w:szCs w:val="18"/>
              </w:rPr>
              <w:sym w:font="Wingdings" w:char="F09E"/>
            </w:r>
            <w:r>
              <w:rPr>
                <w:rFonts w:ascii="黑体" w:hAnsi="黑体" w:eastAsia="黑体"/>
                <w:b/>
                <w:sz w:val="18"/>
                <w:szCs w:val="18"/>
              </w:rPr>
              <w:t>h）</w:t>
            </w: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2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3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4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5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6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7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8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9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10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11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12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</w:tbl>
    <w:p>
      <w:pPr>
        <w:snapToGrid w:val="0"/>
        <w:spacing w:line="500" w:lineRule="exact"/>
        <w:ind w:firstLine="560" w:firstLineChars="200"/>
        <w:jc w:val="center"/>
        <w:rPr>
          <w:rFonts w:ascii="仿宋_GB2312" w:eastAsia="仿宋_GB2312"/>
          <w:sz w:val="28"/>
          <w:szCs w:val="32"/>
        </w:rPr>
      </w:pPr>
      <m:oMath>
        <m:r>
          <m:rPr>
            <m:sty m:val="p"/>
          </m:rPr>
          <w:rPr>
            <w:rFonts w:hint="eastAsia" w:ascii="Cambria Math" w:hAnsi="Cambria Math" w:eastAsia="仿宋_GB2312"/>
            <w:sz w:val="28"/>
            <w:szCs w:val="32"/>
          </w:rPr>
          <m:t>综合能耗（</m:t>
        </m:r>
        <m:r>
          <m:rPr>
            <m:sty m:val="p"/>
          </m:rPr>
          <w:rPr>
            <w:rFonts w:ascii="Cambria Math" w:hAnsi="Cambria Math" w:eastAsia="仿宋_GB2312"/>
            <w:sz w:val="28"/>
            <w:szCs w:val="32"/>
          </w:rPr>
          <m:t>KWh</m:t>
        </m:r>
        <m:r>
          <m:rPr>
            <m:sty m:val="p"/>
          </m:rPr>
          <w:rPr>
            <w:rFonts w:hint="eastAsia" w:ascii="Cambria Math" w:hAnsi="Cambria Math" w:eastAsia="仿宋_GB2312"/>
            <w:sz w:val="28"/>
            <w:szCs w:val="32"/>
          </w:rPr>
          <m:t>）=</m:t>
        </m:r>
        <m:nary>
          <m:naryPr>
            <m:chr m:val="∑"/>
            <m:limLoc m:val="undOvr"/>
            <m:ctrlPr>
              <w:rPr>
                <w:rFonts w:ascii="Cambria Math" w:hAnsi="Cambria Math" w:eastAsia="仿宋_GB2312"/>
                <w:sz w:val="28"/>
                <w:szCs w:val="32"/>
              </w:rPr>
            </m:ctrlPr>
          </m:naryPr>
          <m:sub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1</m:t>
            </m:r>
            <m:ctrlPr>
              <w:rPr>
                <w:rFonts w:ascii="Cambria Math" w:hAnsi="Cambria Math" w:eastAsia="仿宋_GB2312"/>
                <w:sz w:val="28"/>
                <w:szCs w:val="32"/>
              </w:rPr>
            </m:ctrlPr>
          </m:sub>
          <m:sup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12</m:t>
            </m:r>
            <m:ctrlPr>
              <w:rPr>
                <w:rFonts w:ascii="Cambria Math" w:hAnsi="Cambria Math" w:eastAsia="仿宋_GB2312"/>
                <w:sz w:val="28"/>
                <w:szCs w:val="32"/>
              </w:rPr>
            </m:ctrlPr>
          </m:sup>
          <m:e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电</m:t>
            </m:r>
            <m:ctrlPr>
              <w:rPr>
                <w:rFonts w:ascii="Cambria Math" w:hAnsi="Cambria Math" w:eastAsia="仿宋_GB2312"/>
                <w:sz w:val="28"/>
                <w:szCs w:val="32"/>
              </w:rPr>
            </m:ctrlPr>
          </m:e>
        </m:nary>
        <m:r>
          <m:rPr/>
          <w:rPr>
            <w:rFonts w:hint="eastAsia" w:ascii="Cambria Math" w:hAnsi="Cambria Math" w:eastAsia="仿宋_GB2312"/>
            <w:sz w:val="28"/>
            <w:szCs w:val="32"/>
          </w:rPr>
          <m:t>+9.5</m:t>
        </m:r>
        <m:r>
          <m:rPr/>
          <w:rPr>
            <w:rFonts w:ascii="Cambria Math" w:hAnsi="Cambria Math" w:eastAsia="仿宋_GB2312"/>
            <w:sz w:val="28"/>
            <w:szCs w:val="32"/>
          </w:rPr>
          <m:t>×</m:t>
        </m:r>
        <m:nary>
          <m:naryPr>
            <m:chr m:val="∑"/>
            <m:limLoc m:val="undOvr"/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naryPr>
          <m:sub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1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sub>
          <m:sup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12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sup>
          <m:e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天然气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e>
        </m:nary>
        <m:r>
          <m:rPr/>
          <w:rPr>
            <w:rFonts w:hint="eastAsia" w:ascii="Cambria Math" w:hAnsi="Cambria Math" w:eastAsia="仿宋_GB2312"/>
            <w:sz w:val="28"/>
            <w:szCs w:val="32"/>
          </w:rPr>
          <m:t>+628</m:t>
        </m:r>
        <m:r>
          <m:rPr/>
          <w:rPr>
            <w:rFonts w:ascii="Cambria Math" w:hAnsi="Cambria Math" w:eastAsia="仿宋_GB2312"/>
            <w:sz w:val="28"/>
            <w:szCs w:val="32"/>
          </w:rPr>
          <m:t>×</m:t>
        </m:r>
        <m:nary>
          <m:naryPr>
            <m:chr m:val="∑"/>
            <m:limLoc m:val="undOvr"/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naryPr>
          <m:sub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1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sub>
          <m:sup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12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sup>
          <m:e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外购蒸汽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e>
        </m:nary>
        <m:r>
          <m:rPr/>
          <w:rPr>
            <w:rFonts w:hint="eastAsia" w:ascii="Cambria Math" w:hAnsi="Cambria Math" w:eastAsia="仿宋_GB2312"/>
            <w:sz w:val="28"/>
            <w:szCs w:val="32"/>
          </w:rPr>
          <m:t>+35</m:t>
        </m:r>
        <m:r>
          <m:rPr/>
          <w:rPr>
            <w:rFonts w:ascii="Cambria Math" w:hAnsi="Cambria Math" w:eastAsia="仿宋_GB2312"/>
            <w:sz w:val="28"/>
            <w:szCs w:val="32"/>
          </w:rPr>
          <m:t>×</m:t>
        </m:r>
        <m:nary>
          <m:naryPr>
            <m:chr m:val="∑"/>
            <m:limLoc m:val="undOvr"/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naryPr>
          <m:sub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1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sub>
          <m:sup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12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sup>
          <m:e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外购生活热水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e>
        </m:nary>
        <m:r>
          <m:rPr/>
          <w:rPr>
            <w:rFonts w:hint="eastAsia" w:ascii="Cambria Math" w:hAnsi="Cambria Math" w:eastAsia="仿宋_GB2312"/>
            <w:sz w:val="28"/>
            <w:szCs w:val="32"/>
          </w:rPr>
          <m:t>+277.8</m:t>
        </m:r>
        <m:r>
          <m:rPr/>
          <w:rPr>
            <w:rFonts w:ascii="Cambria Math" w:hAnsi="Cambria Math" w:eastAsia="仿宋_GB2312"/>
            <w:sz w:val="28"/>
            <w:szCs w:val="32"/>
          </w:rPr>
          <m:t>×</m:t>
        </m:r>
        <m:nary>
          <m:naryPr>
            <m:chr m:val="∑"/>
            <m:limLoc m:val="undOvr"/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naryPr>
          <m:sub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1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sub>
          <m:sup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12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sup>
          <m:e>
            <m:d>
              <m:dPr>
                <m:ctrlPr>
                  <w:rPr>
                    <w:rFonts w:ascii="Cambria Math" w:hAnsi="Cambria Math" w:eastAsia="仿宋_GB2312"/>
                    <w:i/>
                    <w:sz w:val="28"/>
                    <w:szCs w:val="32"/>
                  </w:rPr>
                </m:ctrlPr>
              </m:dPr>
              <m:e>
                <m:r>
                  <m:rPr/>
                  <w:rPr>
                    <w:rFonts w:hint="eastAsia" w:ascii="Cambria Math" w:hAnsi="Cambria Math" w:eastAsia="仿宋_GB2312"/>
                    <w:sz w:val="28"/>
                    <w:szCs w:val="32"/>
                  </w:rPr>
                  <m:t>外购采暖热量+外购冷量</m:t>
                </m:r>
                <m:ctrlPr>
                  <w:rPr>
                    <w:rFonts w:ascii="Cambria Math" w:hAnsi="Cambria Math" w:eastAsia="仿宋_GB2312"/>
                    <w:i/>
                    <w:sz w:val="28"/>
                    <w:szCs w:val="32"/>
                  </w:rPr>
                </m:ctrlPr>
              </m:e>
            </m:d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+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e>
        </m:nary>
        <m:nary>
          <m:naryPr>
            <m:chr m:val="∑"/>
            <m:limLoc m:val="undOvr"/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naryPr>
          <m:sub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1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sub>
          <m:sup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12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sup>
          <m:e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太阳能发电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e>
        </m:nary>
        <m:r>
          <m:rPr/>
          <w:rPr>
            <w:rFonts w:hint="eastAsia" w:ascii="Cambria Math" w:hAnsi="Cambria Math" w:eastAsia="仿宋_GB2312"/>
            <w:sz w:val="28"/>
            <w:szCs w:val="32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naryPr>
          <m:sub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1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sub>
          <m:sup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12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sup>
          <m:e>
            <m:r>
              <m:rPr/>
              <w:rPr>
                <w:rFonts w:hint="eastAsia" w:ascii="Cambria Math" w:hAnsi="Cambria Math" w:eastAsia="仿宋_GB2312"/>
                <w:sz w:val="28"/>
                <w:szCs w:val="32"/>
              </w:rPr>
              <m:t>其他能源</m:t>
            </m:r>
            <m:ctrlPr>
              <w:rPr>
                <w:rFonts w:ascii="Cambria Math" w:hAnsi="Cambria Math" w:eastAsia="仿宋_GB2312"/>
                <w:i/>
                <w:sz w:val="28"/>
                <w:szCs w:val="32"/>
              </w:rPr>
            </m:ctrlPr>
          </m:e>
        </m:nary>
      </m:oMath>
      <w:r>
        <w:rPr>
          <w:rFonts w:ascii="仿宋_GB2312" w:eastAsia="仿宋_GB2312"/>
          <w:sz w:val="28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NWE3MTk5MjNkYjdlMDg4ZGI4YjczNDZhZDEzOGMifQ=="/>
  </w:docVars>
  <w:rsids>
    <w:rsidRoot w:val="00F14AE6"/>
    <w:rsid w:val="000D2703"/>
    <w:rsid w:val="000E17BF"/>
    <w:rsid w:val="001263DD"/>
    <w:rsid w:val="00240D20"/>
    <w:rsid w:val="002E135E"/>
    <w:rsid w:val="00304FCA"/>
    <w:rsid w:val="0032626C"/>
    <w:rsid w:val="00334491"/>
    <w:rsid w:val="004628EE"/>
    <w:rsid w:val="004A47ED"/>
    <w:rsid w:val="006113B6"/>
    <w:rsid w:val="006B240F"/>
    <w:rsid w:val="00783043"/>
    <w:rsid w:val="007E2BC0"/>
    <w:rsid w:val="009C2776"/>
    <w:rsid w:val="00A672B9"/>
    <w:rsid w:val="00A8566E"/>
    <w:rsid w:val="00B239E4"/>
    <w:rsid w:val="00BA0823"/>
    <w:rsid w:val="00D074C3"/>
    <w:rsid w:val="00D40E8C"/>
    <w:rsid w:val="00EE779C"/>
    <w:rsid w:val="00F14AE6"/>
    <w:rsid w:val="00F24D5C"/>
    <w:rsid w:val="00FB0B26"/>
    <w:rsid w:val="1A44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218</Words>
  <Characters>1248</Characters>
  <Lines>10</Lines>
  <Paragraphs>2</Paragraphs>
  <TotalTime>1</TotalTime>
  <ScaleCrop>false</ScaleCrop>
  <LinksUpToDate>false</LinksUpToDate>
  <CharactersWithSpaces>1464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2019-10-21T09:11:00Z</dcterms:created>
  <dc:creator>China</dc:creator>
  <cp:lastModifiedBy>ASUS-4</cp:lastModifiedBy>
  <dcterms:modified xsi:type="dcterms:W3CDTF">2022-06-27T08:17:26Z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09AFE58FDE9346F2BFDD505F1E1DE405</vt:lpwstr>
  </property>
</Properties>
</file>