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afterLines="0" w:line="540" w:lineRule="exac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Lines="0" w:afterLines="0" w:line="240" w:lineRule="auto"/>
        <w:ind w:right="57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  <w:t>河南省建筑业协会第四届理事会理事候选人汇总表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pacing w:val="14"/>
          <w:sz w:val="32"/>
          <w:szCs w:val="32"/>
        </w:rPr>
        <w:t>推荐单位(盖章):</w:t>
      </w:r>
    </w:p>
    <w:tbl>
      <w:tblPr>
        <w:tblStyle w:val="2"/>
        <w:tblpPr w:leftFromText="180" w:rightFromText="180" w:vertAnchor="text" w:horzAnchor="page" w:tblpX="800" w:tblpY="122"/>
        <w:tblOverlap w:val="never"/>
        <w:tblW w:w="105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492"/>
        <w:gridCol w:w="3012"/>
        <w:gridCol w:w="1896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9" w:beforeLines="0" w:afterLines="0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8" w:beforeLines="0" w:afterLines="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</w:rPr>
              <w:t>单位名称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7" w:beforeLines="0" w:afterLines="0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</w:rPr>
              <w:t>候选人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  <w:lang w:eastAsia="zh-CN"/>
              </w:rPr>
              <w:t>及职务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9" w:beforeLines="0" w:afterLines="0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  <w:lang w:eastAsia="zh-CN"/>
              </w:rPr>
              <w:t>理事或常务理事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29" w:beforeLines="0" w:afterLines="0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  <w:lang w:eastAsia="zh-CN"/>
              </w:rPr>
              <w:t>是否为上一届理事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1" w:beforeLines="0" w:afterLines="0" w:line="184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4" w:beforeLines="0" w:afterLines="0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5" w:beforeLines="0" w:afterLines="0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6" w:beforeLines="0" w:afterLines="0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4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9" w:beforeLines="0" w:afterLines="0" w:line="182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5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7" w:beforeLines="0" w:afterLines="0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6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0" w:beforeLines="0" w:afterLines="0" w:line="182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7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9" w:beforeLines="0" w:afterLines="0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8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9" w:beforeLines="0" w:afterLines="0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9" w:beforeLines="0" w:afterLines="0" w:line="183" w:lineRule="auto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C32813-15AB-4C3A-B874-0340A3BEBB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BF753A-BD17-471C-8F08-53997DEA72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zBhNGUzNWJhYTViNDNmZjYwOWRiNzk1ZjJmYjkifQ=="/>
  </w:docVars>
  <w:rsids>
    <w:rsidRoot w:val="117A1B10"/>
    <w:rsid w:val="117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2023-02-13T06:55:00Z</dcterms:created>
  <dc:creator>卢佳楠</dc:creator>
  <cp:lastModifiedBy>卢佳楠</cp:lastModifiedBy>
  <dcterms:modified xsi:type="dcterms:W3CDTF">2023-02-13T06:56:18Z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A8AF44E005044522B502987010A2985B</vt:lpwstr>
  </property>
</Properties>
</file>